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hint="eastAsia" w:ascii="宋体" w:hAnsi="宋体" w:eastAsia="宋体"/>
          <w:b/>
          <w:sz w:val="32"/>
          <w:szCs w:val="32"/>
        </w:rPr>
      </w:pPr>
      <w:r>
        <w:rPr>
          <w:rFonts w:hint="eastAsia" w:ascii="宋体" w:hAnsi="宋体" w:eastAsia="宋体"/>
          <w:b/>
          <w:color w:val="FF0000"/>
          <w:sz w:val="32"/>
          <w:szCs w:val="32"/>
        </w:rPr>
        <w:t>协会</w:t>
      </w:r>
      <w:r>
        <w:rPr>
          <w:rFonts w:hint="eastAsia" w:ascii="宋体" w:hAnsi="宋体" w:eastAsia="宋体"/>
          <w:b/>
          <w:sz w:val="32"/>
          <w:szCs w:val="32"/>
        </w:rPr>
        <w:t>标准项目建议书</w:t>
      </w:r>
    </w:p>
    <w:tbl>
      <w:tblPr>
        <w:tblStyle w:val="5"/>
        <w:tblW w:w="97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7"/>
        <w:gridCol w:w="1078"/>
        <w:gridCol w:w="540"/>
        <w:gridCol w:w="540"/>
        <w:gridCol w:w="928"/>
        <w:gridCol w:w="886"/>
        <w:gridCol w:w="957"/>
        <w:gridCol w:w="744"/>
        <w:gridCol w:w="1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2167" w:type="dxa"/>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建议项目名称</w:t>
            </w:r>
          </w:p>
          <w:p>
            <w:pPr>
              <w:snapToGrid w:val="0"/>
              <w:spacing w:line="360" w:lineRule="auto"/>
              <w:ind w:left="-5" w:leftChars="-6" w:hanging="12" w:hangingChars="7"/>
              <w:jc w:val="center"/>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rPr>
              <w:t>中文</w:t>
            </w:r>
            <w:r>
              <w:rPr>
                <w:rFonts w:ascii="宋体" w:hAnsi="宋体" w:eastAsia="宋体"/>
                <w:sz w:val="18"/>
                <w:szCs w:val="18"/>
              </w:rPr>
              <w:t>)</w:t>
            </w:r>
          </w:p>
        </w:tc>
        <w:tc>
          <w:tcPr>
            <w:tcW w:w="3086" w:type="dxa"/>
            <w:gridSpan w:val="4"/>
            <w:vAlign w:val="center"/>
          </w:tcPr>
          <w:p>
            <w:pPr>
              <w:keepNext w:val="0"/>
              <w:keepLines w:val="0"/>
              <w:suppressLineNumbers w:val="0"/>
              <w:spacing w:before="0" w:beforeAutospacing="0" w:after="0" w:afterAutospacing="0"/>
              <w:ind w:left="0" w:leftChars="0" w:right="0" w:rightChars="0"/>
              <w:rPr>
                <w:rFonts w:hint="eastAsia" w:ascii="宋体" w:hAnsi="宋体" w:eastAsia="宋体"/>
                <w:sz w:val="18"/>
                <w:szCs w:val="18"/>
              </w:rPr>
            </w:pPr>
            <w:r>
              <w:rPr>
                <w:rFonts w:hint="eastAsia" w:ascii="宋体" w:hAnsi="宋体" w:eastAsia="宋体"/>
                <w:sz w:val="18"/>
                <w:szCs w:val="18"/>
              </w:rPr>
              <w:t>产品碳足迹  产品种类规则  复合材料模压制品</w:t>
            </w:r>
          </w:p>
        </w:tc>
        <w:tc>
          <w:tcPr>
            <w:tcW w:w="1843" w:type="dxa"/>
            <w:gridSpan w:val="2"/>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建议项目名称</w:t>
            </w:r>
          </w:p>
          <w:p>
            <w:pPr>
              <w:snapToGrid w:val="0"/>
              <w:spacing w:line="360" w:lineRule="auto"/>
              <w:jc w:val="center"/>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rPr>
              <w:t>英文</w:t>
            </w:r>
            <w:r>
              <w:rPr>
                <w:rFonts w:ascii="宋体" w:hAnsi="宋体" w:eastAsia="宋体"/>
                <w:sz w:val="18"/>
                <w:szCs w:val="18"/>
              </w:rPr>
              <w:t>)</w:t>
            </w:r>
          </w:p>
        </w:tc>
        <w:tc>
          <w:tcPr>
            <w:tcW w:w="2644" w:type="dxa"/>
            <w:gridSpan w:val="2"/>
            <w:vAlign w:val="center"/>
          </w:tcPr>
          <w:p>
            <w:pPr>
              <w:keepNext w:val="0"/>
              <w:keepLines w:val="0"/>
              <w:suppressLineNumbers w:val="0"/>
              <w:spacing w:before="0" w:beforeAutospacing="0" w:after="0" w:afterAutospacing="0"/>
              <w:ind w:left="0" w:leftChars="0" w:right="0" w:rightChars="0"/>
              <w:rPr>
                <w:rFonts w:hint="eastAsia" w:ascii="宋体" w:hAnsi="宋体" w:eastAsia="宋体"/>
                <w:sz w:val="18"/>
                <w:szCs w:val="18"/>
              </w:rPr>
            </w:pPr>
            <w:r>
              <w:rPr>
                <w:rFonts w:hint="default" w:ascii="宋体" w:hAnsi="宋体" w:eastAsia="宋体"/>
                <w:sz w:val="18"/>
                <w:szCs w:val="18"/>
              </w:rPr>
              <w:t>Product Carbon Footprint   Product Type Rules   Composite molded products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2167" w:type="dxa"/>
            <w:vAlign w:val="center"/>
          </w:tcPr>
          <w:p>
            <w:pPr>
              <w:snapToGrid w:val="0"/>
              <w:spacing w:line="360" w:lineRule="auto"/>
              <w:jc w:val="center"/>
              <w:rPr>
                <w:rFonts w:hint="eastAsia" w:ascii="宋体" w:hAnsi="宋体" w:eastAsia="宋体"/>
                <w:sz w:val="18"/>
                <w:szCs w:val="18"/>
              </w:rPr>
            </w:pPr>
            <w:r>
              <w:rPr>
                <w:rFonts w:hint="eastAsia" w:ascii="宋体" w:hAnsi="宋体" w:eastAsia="宋体"/>
                <w:sz w:val="18"/>
                <w:szCs w:val="18"/>
              </w:rPr>
              <w:t>制定或修订</w:t>
            </w:r>
          </w:p>
        </w:tc>
        <w:tc>
          <w:tcPr>
            <w:tcW w:w="1618" w:type="dxa"/>
            <w:gridSpan w:val="2"/>
            <w:vAlign w:val="center"/>
          </w:tcPr>
          <w:p>
            <w:pPr>
              <w:snapToGrid w:val="0"/>
              <w:spacing w:line="360" w:lineRule="auto"/>
              <w:rPr>
                <w:rFonts w:ascii="宋体" w:hAnsi="宋体" w:eastAsia="宋体"/>
                <w:sz w:val="18"/>
                <w:szCs w:val="18"/>
              </w:rPr>
            </w:pPr>
            <w:r>
              <w:rPr>
                <w:rFonts w:hint="eastAsia" w:ascii="宋体" w:hAnsi="宋体" w:eastAsia="宋体"/>
                <w:sz w:val="18"/>
                <w:szCs w:val="18"/>
                <w:lang w:eastAsia="zh-CN"/>
              </w:rPr>
              <w:t>☑</w:t>
            </w:r>
            <w:r>
              <w:rPr>
                <w:rFonts w:hint="default" w:ascii="Arial" w:hAnsi="Arial" w:eastAsia="宋体" w:cs="Arial"/>
                <w:sz w:val="18"/>
                <w:szCs w:val="18"/>
              </w:rPr>
              <w:t>√</w:t>
            </w:r>
            <w:r>
              <w:rPr>
                <w:rFonts w:hint="eastAsia" w:ascii="宋体" w:hAnsi="宋体" w:eastAsia="宋体"/>
                <w:sz w:val="18"/>
                <w:szCs w:val="18"/>
              </w:rPr>
              <w:t xml:space="preserve"> 制定</w:t>
            </w:r>
          </w:p>
        </w:tc>
        <w:tc>
          <w:tcPr>
            <w:tcW w:w="1468" w:type="dxa"/>
            <w:gridSpan w:val="2"/>
            <w:vAlign w:val="center"/>
          </w:tcPr>
          <w:p>
            <w:pPr>
              <w:snapToGrid w:val="0"/>
              <w:spacing w:line="360" w:lineRule="auto"/>
              <w:rPr>
                <w:rFonts w:ascii="宋体" w:hAnsi="宋体" w:eastAsia="宋体"/>
                <w:sz w:val="18"/>
                <w:szCs w:val="18"/>
              </w:rPr>
            </w:pPr>
            <w:r>
              <w:rPr>
                <w:rFonts w:hint="eastAsia" w:ascii="宋体" w:hAnsi="宋体" w:eastAsia="宋体"/>
                <w:sz w:val="18"/>
                <w:szCs w:val="18"/>
              </w:rPr>
              <w:t>□ 修订</w:t>
            </w:r>
          </w:p>
        </w:tc>
        <w:tc>
          <w:tcPr>
            <w:tcW w:w="1843" w:type="dxa"/>
            <w:gridSpan w:val="2"/>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被修订标准号</w:t>
            </w:r>
          </w:p>
        </w:tc>
        <w:tc>
          <w:tcPr>
            <w:tcW w:w="2644" w:type="dxa"/>
            <w:gridSpan w:val="2"/>
            <w:vAlign w:val="center"/>
          </w:tcPr>
          <w:p>
            <w:pPr>
              <w:snapToGrid w:val="0"/>
              <w:spacing w:line="360" w:lineRule="auto"/>
              <w:rPr>
                <w:rFonts w:hint="eastAsia"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167" w:type="dxa"/>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采用程度</w:t>
            </w:r>
          </w:p>
        </w:tc>
        <w:tc>
          <w:tcPr>
            <w:tcW w:w="1078" w:type="dxa"/>
            <w:vAlign w:val="center"/>
          </w:tcPr>
          <w:p>
            <w:pPr>
              <w:snapToGrid w:val="0"/>
              <w:spacing w:line="360" w:lineRule="auto"/>
              <w:rPr>
                <w:rFonts w:hint="eastAsia" w:ascii="宋体" w:hAnsi="宋体" w:eastAsia="宋体"/>
                <w:sz w:val="18"/>
                <w:szCs w:val="18"/>
              </w:rPr>
            </w:pPr>
            <w:r>
              <w:rPr>
                <w:rFonts w:hint="eastAsia" w:ascii="宋体" w:hAnsi="宋体" w:eastAsia="宋体"/>
                <w:sz w:val="18"/>
                <w:szCs w:val="18"/>
              </w:rPr>
              <w:t>□ IDT</w:t>
            </w:r>
          </w:p>
        </w:tc>
        <w:tc>
          <w:tcPr>
            <w:tcW w:w="1080" w:type="dxa"/>
            <w:gridSpan w:val="2"/>
            <w:vAlign w:val="center"/>
          </w:tcPr>
          <w:p>
            <w:pPr>
              <w:snapToGrid w:val="0"/>
              <w:spacing w:line="360" w:lineRule="auto"/>
              <w:rPr>
                <w:rFonts w:hint="eastAsia" w:ascii="宋体" w:hAnsi="宋体" w:eastAsia="宋体"/>
                <w:sz w:val="18"/>
                <w:szCs w:val="18"/>
              </w:rPr>
            </w:pPr>
            <w:r>
              <w:rPr>
                <w:rFonts w:hint="eastAsia" w:ascii="宋体" w:hAnsi="宋体" w:eastAsia="宋体"/>
                <w:sz w:val="18"/>
                <w:szCs w:val="18"/>
              </w:rPr>
              <w:t>□ MOD</w:t>
            </w:r>
          </w:p>
        </w:tc>
        <w:tc>
          <w:tcPr>
            <w:tcW w:w="928" w:type="dxa"/>
            <w:vAlign w:val="center"/>
          </w:tcPr>
          <w:p>
            <w:pPr>
              <w:snapToGrid w:val="0"/>
              <w:spacing w:line="360" w:lineRule="auto"/>
              <w:rPr>
                <w:rFonts w:hint="eastAsia" w:ascii="宋体" w:hAnsi="宋体" w:eastAsia="宋体"/>
                <w:sz w:val="18"/>
                <w:szCs w:val="18"/>
              </w:rPr>
            </w:pPr>
            <w:r>
              <w:rPr>
                <w:rFonts w:hint="eastAsia" w:ascii="宋体" w:hAnsi="宋体" w:eastAsia="宋体"/>
                <w:sz w:val="18"/>
                <w:szCs w:val="18"/>
              </w:rPr>
              <w:t>□ NEQ</w:t>
            </w:r>
          </w:p>
        </w:tc>
        <w:tc>
          <w:tcPr>
            <w:tcW w:w="1843" w:type="dxa"/>
            <w:gridSpan w:val="2"/>
            <w:vAlign w:val="center"/>
          </w:tcPr>
          <w:p>
            <w:pPr>
              <w:snapToGrid w:val="0"/>
              <w:spacing w:line="360" w:lineRule="auto"/>
              <w:jc w:val="center"/>
              <w:rPr>
                <w:rFonts w:hint="eastAsia" w:ascii="宋体" w:hAnsi="宋体" w:eastAsia="宋体"/>
                <w:sz w:val="18"/>
                <w:szCs w:val="18"/>
              </w:rPr>
            </w:pPr>
            <w:r>
              <w:rPr>
                <w:rFonts w:hint="eastAsia" w:ascii="宋体" w:hAnsi="宋体" w:eastAsia="宋体"/>
                <w:sz w:val="18"/>
                <w:szCs w:val="18"/>
              </w:rPr>
              <w:t>采标号</w:t>
            </w:r>
          </w:p>
        </w:tc>
        <w:tc>
          <w:tcPr>
            <w:tcW w:w="2644" w:type="dxa"/>
            <w:gridSpan w:val="2"/>
            <w:vAlign w:val="center"/>
          </w:tcPr>
          <w:p>
            <w:pPr>
              <w:snapToGrid w:val="0"/>
              <w:spacing w:line="360" w:lineRule="auto"/>
              <w:rPr>
                <w:rFonts w:hint="eastAsia"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167" w:type="dxa"/>
            <w:vAlign w:val="center"/>
          </w:tcPr>
          <w:p>
            <w:pPr>
              <w:snapToGrid w:val="0"/>
              <w:spacing w:line="360" w:lineRule="auto"/>
              <w:jc w:val="center"/>
              <w:rPr>
                <w:rFonts w:hint="eastAsia" w:ascii="宋体" w:hAnsi="宋体" w:eastAsia="宋体"/>
                <w:sz w:val="18"/>
                <w:szCs w:val="18"/>
              </w:rPr>
            </w:pPr>
            <w:r>
              <w:rPr>
                <w:rFonts w:hint="eastAsia" w:ascii="宋体" w:hAnsi="宋体" w:eastAsia="宋体"/>
                <w:sz w:val="18"/>
                <w:szCs w:val="18"/>
              </w:rPr>
              <w:t>国际标准名称（中文）</w:t>
            </w:r>
          </w:p>
        </w:tc>
        <w:tc>
          <w:tcPr>
            <w:tcW w:w="3086" w:type="dxa"/>
            <w:gridSpan w:val="4"/>
            <w:vAlign w:val="center"/>
          </w:tcPr>
          <w:p>
            <w:pPr>
              <w:snapToGrid w:val="0"/>
              <w:spacing w:line="360" w:lineRule="auto"/>
              <w:rPr>
                <w:rFonts w:hint="eastAsia" w:ascii="宋体" w:hAnsi="宋体" w:eastAsia="宋体"/>
                <w:sz w:val="18"/>
                <w:szCs w:val="18"/>
              </w:rPr>
            </w:pPr>
          </w:p>
        </w:tc>
        <w:tc>
          <w:tcPr>
            <w:tcW w:w="1843" w:type="dxa"/>
            <w:gridSpan w:val="2"/>
            <w:vAlign w:val="center"/>
          </w:tcPr>
          <w:p>
            <w:pPr>
              <w:snapToGrid w:val="0"/>
              <w:spacing w:line="360" w:lineRule="auto"/>
              <w:jc w:val="center"/>
              <w:rPr>
                <w:rFonts w:hint="eastAsia" w:ascii="宋体" w:hAnsi="宋体" w:eastAsia="宋体"/>
                <w:sz w:val="18"/>
                <w:szCs w:val="18"/>
              </w:rPr>
            </w:pPr>
            <w:r>
              <w:rPr>
                <w:rFonts w:hint="eastAsia" w:ascii="宋体" w:hAnsi="宋体" w:eastAsia="宋体"/>
                <w:sz w:val="18"/>
                <w:szCs w:val="18"/>
              </w:rPr>
              <w:t>国际标准名称（英文）</w:t>
            </w:r>
          </w:p>
        </w:tc>
        <w:tc>
          <w:tcPr>
            <w:tcW w:w="2644" w:type="dxa"/>
            <w:gridSpan w:val="2"/>
            <w:vAlign w:val="center"/>
          </w:tcPr>
          <w:p>
            <w:pPr>
              <w:snapToGrid w:val="0"/>
              <w:spacing w:line="360" w:lineRule="auto"/>
              <w:rPr>
                <w:rFonts w:hint="eastAsia"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167" w:type="dxa"/>
            <w:vAlign w:val="center"/>
          </w:tcPr>
          <w:p>
            <w:pPr>
              <w:snapToGrid w:val="0"/>
              <w:spacing w:line="360" w:lineRule="auto"/>
              <w:jc w:val="center"/>
              <w:rPr>
                <w:rFonts w:hint="eastAsia" w:ascii="宋体" w:hAnsi="宋体" w:eastAsia="宋体"/>
                <w:sz w:val="18"/>
                <w:szCs w:val="18"/>
              </w:rPr>
            </w:pPr>
            <w:r>
              <w:rPr>
                <w:rFonts w:ascii="宋体" w:hAnsi="宋体" w:eastAsia="宋体"/>
                <w:sz w:val="18"/>
                <w:szCs w:val="18"/>
              </w:rPr>
              <w:t>ICS</w:t>
            </w:r>
            <w:r>
              <w:rPr>
                <w:rFonts w:hint="eastAsia" w:ascii="宋体" w:hAnsi="宋体" w:eastAsia="宋体"/>
                <w:sz w:val="18"/>
                <w:szCs w:val="18"/>
              </w:rPr>
              <w:t>分类号</w:t>
            </w:r>
          </w:p>
        </w:tc>
        <w:tc>
          <w:tcPr>
            <w:tcW w:w="3086" w:type="dxa"/>
            <w:gridSpan w:val="4"/>
            <w:vAlign w:val="center"/>
          </w:tcPr>
          <w:p>
            <w:pPr>
              <w:snapToGrid w:val="0"/>
              <w:spacing w:line="360" w:lineRule="auto"/>
              <w:rPr>
                <w:rFonts w:hint="default" w:ascii="宋体" w:hAnsi="宋体" w:eastAsia="宋体"/>
                <w:sz w:val="18"/>
                <w:szCs w:val="18"/>
                <w:lang w:val="en-US" w:eastAsia="zh-CN"/>
              </w:rPr>
            </w:pPr>
            <w:r>
              <w:rPr>
                <w:rFonts w:hint="eastAsia" w:ascii="宋体" w:hAnsi="宋体" w:eastAsia="宋体"/>
                <w:sz w:val="18"/>
                <w:szCs w:val="18"/>
                <w:lang w:val="en-US" w:eastAsia="zh-CN"/>
              </w:rPr>
              <w:t>83.120</w:t>
            </w:r>
          </w:p>
        </w:tc>
        <w:tc>
          <w:tcPr>
            <w:tcW w:w="1843" w:type="dxa"/>
            <w:gridSpan w:val="2"/>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中国标准分类号</w:t>
            </w:r>
          </w:p>
        </w:tc>
        <w:tc>
          <w:tcPr>
            <w:tcW w:w="2644" w:type="dxa"/>
            <w:gridSpan w:val="2"/>
            <w:vAlign w:val="center"/>
          </w:tcPr>
          <w:p>
            <w:pPr>
              <w:snapToGrid w:val="0"/>
              <w:spacing w:line="360" w:lineRule="auto"/>
              <w:rPr>
                <w:rFonts w:hint="default" w:ascii="宋体" w:hAnsi="宋体" w:eastAsia="宋体"/>
                <w:sz w:val="18"/>
                <w:szCs w:val="18"/>
                <w:lang w:val="en-US" w:eastAsia="zh-CN"/>
              </w:rPr>
            </w:pPr>
            <w:r>
              <w:rPr>
                <w:rFonts w:hint="eastAsia" w:ascii="宋体" w:hAnsi="宋体" w:eastAsia="宋体"/>
                <w:sz w:val="18"/>
                <w:szCs w:val="18"/>
                <w:lang w:val="en-US" w:eastAsia="zh-CN"/>
              </w:rPr>
              <w:t>Q23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6" w:hRule="atLeast"/>
          <w:jc w:val="center"/>
        </w:trPr>
        <w:tc>
          <w:tcPr>
            <w:tcW w:w="2167" w:type="dxa"/>
            <w:vAlign w:val="center"/>
          </w:tcPr>
          <w:p>
            <w:pPr>
              <w:snapToGrid w:val="0"/>
              <w:spacing w:line="360" w:lineRule="auto"/>
              <w:jc w:val="center"/>
              <w:rPr>
                <w:rFonts w:hint="eastAsia" w:ascii="宋体" w:hAnsi="宋体" w:eastAsia="宋体"/>
                <w:sz w:val="18"/>
                <w:szCs w:val="18"/>
              </w:rPr>
            </w:pPr>
            <w:r>
              <w:rPr>
                <w:rFonts w:hint="eastAsia" w:ascii="宋体" w:hAnsi="宋体" w:eastAsia="宋体"/>
                <w:sz w:val="18"/>
                <w:szCs w:val="18"/>
              </w:rPr>
              <w:t>标准主要起草单位</w:t>
            </w:r>
          </w:p>
        </w:tc>
        <w:tc>
          <w:tcPr>
            <w:tcW w:w="3086" w:type="dxa"/>
            <w:gridSpan w:val="4"/>
            <w:vAlign w:val="center"/>
          </w:tcPr>
          <w:p>
            <w:pPr>
              <w:snapToGrid w:val="0"/>
              <w:spacing w:line="360" w:lineRule="auto"/>
              <w:rPr>
                <w:rFonts w:hint="eastAsia" w:ascii="宋体" w:hAnsi="宋体" w:eastAsia="宋体"/>
                <w:sz w:val="18"/>
                <w:szCs w:val="18"/>
              </w:rPr>
            </w:pPr>
            <w:r>
              <w:rPr>
                <w:rFonts w:hint="eastAsia" w:ascii="宋体" w:hAnsi="宋体" w:eastAsia="宋体"/>
                <w:sz w:val="18"/>
                <w:szCs w:val="18"/>
              </w:rPr>
              <w:t>中纤复材再生资源咨询服务（北京）有限公司</w:t>
            </w:r>
          </w:p>
        </w:tc>
        <w:tc>
          <w:tcPr>
            <w:tcW w:w="1843" w:type="dxa"/>
            <w:gridSpan w:val="2"/>
            <w:vAlign w:val="center"/>
          </w:tcPr>
          <w:p>
            <w:pPr>
              <w:snapToGrid w:val="0"/>
              <w:spacing w:line="360" w:lineRule="auto"/>
              <w:jc w:val="center"/>
              <w:rPr>
                <w:rFonts w:hint="eastAsia" w:ascii="宋体" w:hAnsi="宋体" w:eastAsia="宋体"/>
                <w:sz w:val="18"/>
                <w:szCs w:val="18"/>
              </w:rPr>
            </w:pPr>
            <w:r>
              <w:rPr>
                <w:rFonts w:hint="eastAsia" w:ascii="宋体" w:hAnsi="宋体" w:eastAsia="宋体"/>
                <w:sz w:val="18"/>
                <w:szCs w:val="18"/>
              </w:rPr>
              <w:t>计划起止时间</w:t>
            </w:r>
          </w:p>
        </w:tc>
        <w:tc>
          <w:tcPr>
            <w:tcW w:w="2644" w:type="dxa"/>
            <w:gridSpan w:val="2"/>
            <w:vAlign w:val="center"/>
          </w:tcPr>
          <w:p>
            <w:pPr>
              <w:snapToGrid w:val="0"/>
              <w:spacing w:line="360" w:lineRule="auto"/>
              <w:rPr>
                <w:rFonts w:hint="eastAsia" w:ascii="宋体" w:hAnsi="宋体" w:eastAsia="宋体"/>
                <w:sz w:val="18"/>
                <w:szCs w:val="18"/>
              </w:rPr>
            </w:pPr>
            <w:r>
              <w:rPr>
                <w:rFonts w:hint="eastAsia" w:ascii="宋体" w:hAnsi="宋体" w:eastAsia="宋体"/>
                <w:sz w:val="18"/>
                <w:szCs w:val="18"/>
              </w:rPr>
              <w:t>2024年1月-2025年1月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jc w:val="center"/>
        </w:trPr>
        <w:tc>
          <w:tcPr>
            <w:tcW w:w="2167" w:type="dxa"/>
            <w:vAlign w:val="center"/>
          </w:tcPr>
          <w:p>
            <w:pPr>
              <w:snapToGrid w:val="0"/>
              <w:spacing w:line="360" w:lineRule="auto"/>
              <w:jc w:val="center"/>
              <w:rPr>
                <w:rFonts w:hint="eastAsia" w:ascii="宋体" w:hAnsi="宋体" w:eastAsia="宋体"/>
                <w:sz w:val="18"/>
                <w:szCs w:val="18"/>
              </w:rPr>
            </w:pPr>
            <w:r>
              <w:rPr>
                <w:rFonts w:hint="eastAsia" w:ascii="宋体" w:hAnsi="宋体" w:eastAsia="宋体"/>
                <w:sz w:val="18"/>
                <w:szCs w:val="18"/>
              </w:rPr>
              <w:t>目的</w:t>
            </w:r>
            <w:r>
              <w:rPr>
                <w:rFonts w:ascii="宋体" w:hAnsi="宋体" w:eastAsia="宋体"/>
                <w:sz w:val="18"/>
                <w:szCs w:val="18"/>
              </w:rPr>
              <w:t>﹑</w:t>
            </w:r>
            <w:r>
              <w:rPr>
                <w:rFonts w:hint="eastAsia" w:ascii="宋体" w:hAnsi="宋体" w:eastAsia="宋体"/>
                <w:sz w:val="18"/>
                <w:szCs w:val="18"/>
              </w:rPr>
              <w:t>意义或必</w:t>
            </w:r>
          </w:p>
          <w:p>
            <w:pPr>
              <w:snapToGrid w:val="0"/>
              <w:spacing w:line="360" w:lineRule="auto"/>
              <w:jc w:val="center"/>
              <w:rPr>
                <w:rFonts w:ascii="宋体" w:hAnsi="宋体" w:eastAsia="宋体"/>
                <w:sz w:val="18"/>
                <w:szCs w:val="18"/>
              </w:rPr>
            </w:pPr>
            <w:r>
              <w:rPr>
                <w:rFonts w:hint="eastAsia" w:ascii="宋体" w:hAnsi="宋体" w:eastAsia="宋体"/>
                <w:sz w:val="18"/>
                <w:szCs w:val="18"/>
              </w:rPr>
              <w:t>要性</w:t>
            </w:r>
          </w:p>
        </w:tc>
        <w:tc>
          <w:tcPr>
            <w:tcW w:w="7573" w:type="dxa"/>
            <w:gridSpan w:val="8"/>
            <w:vAlign w:val="center"/>
          </w:tcPr>
          <w:p>
            <w:pPr>
              <w:keepNext w:val="0"/>
              <w:keepLines w:val="0"/>
              <w:suppressLineNumbers w:val="0"/>
              <w:spacing w:before="0" w:beforeAutospacing="0" w:after="0" w:afterAutospacing="0"/>
              <w:ind w:left="0" w:right="0" w:firstLine="360" w:firstLineChars="200"/>
              <w:rPr>
                <w:rFonts w:hint="eastAsia" w:ascii="宋体" w:hAnsi="宋体" w:eastAsia="宋体" w:cs="宋体"/>
                <w:sz w:val="18"/>
              </w:rPr>
            </w:pPr>
            <w:r>
              <w:rPr>
                <w:rFonts w:hint="eastAsia" w:ascii="宋体" w:hAnsi="宋体" w:eastAsia="宋体" w:cs="宋体"/>
                <w:sz w:val="18"/>
              </w:rPr>
              <w:t>2022年4月7日，工信部等</w:t>
            </w:r>
            <w:r>
              <w:rPr>
                <w:rFonts w:hint="eastAsia" w:ascii="宋体" w:hAnsi="宋体" w:eastAsia="宋体" w:cs="宋体"/>
                <w:sz w:val="18"/>
                <w:lang w:val="en-US" w:eastAsia="zh-CN"/>
              </w:rPr>
              <w:t>几</w:t>
            </w:r>
            <w:r>
              <w:rPr>
                <w:rFonts w:hint="eastAsia" w:ascii="宋体" w:hAnsi="宋体" w:eastAsia="宋体" w:cs="宋体"/>
                <w:sz w:val="18"/>
              </w:rPr>
              <w:t>部门联合下发《关于“十四五”推动石化化工行业高质量发展的指导意见》（工信部联原〔2022〕34号），文件要求“建立完善化工新材料特别是改性专用料、精细化学品尤其是专用化学品等标准体系，生物基材料、生物可降解塑料、再生塑料材料评价标识管理体系，绿色用能监测与评价体系。探索基于碳足迹制修订含碳化工产品碳排放核算以及低碳产品评价等标准。参与全球标准规则制定，加强国际标准评估转化。”</w:t>
            </w:r>
          </w:p>
          <w:p>
            <w:pPr>
              <w:pStyle w:val="2"/>
              <w:suppressLineNumbers w:val="0"/>
              <w:spacing w:before="0" w:beforeAutospacing="0" w:after="0" w:afterAutospacing="0" w:line="240" w:lineRule="auto"/>
              <w:ind w:left="0" w:right="0" w:firstLine="360" w:firstLineChars="200"/>
              <w:rPr>
                <w:rFonts w:hint="default" w:ascii="Times New Roman" w:hAnsi="Times New Roman" w:eastAsia="宋体"/>
                <w:b w:val="0"/>
                <w:sz w:val="18"/>
                <w:szCs w:val="24"/>
              </w:rPr>
            </w:pPr>
            <w:r>
              <w:rPr>
                <w:rFonts w:hint="eastAsia" w:ascii="Times New Roman" w:hAnsi="Times New Roman" w:eastAsia="宋体"/>
                <w:b w:val="0"/>
                <w:sz w:val="18"/>
                <w:szCs w:val="24"/>
              </w:rPr>
              <w:t>2</w:t>
            </w:r>
            <w:r>
              <w:rPr>
                <w:rFonts w:hint="default" w:ascii="Times New Roman" w:hAnsi="Times New Roman" w:eastAsia="宋体"/>
                <w:b w:val="0"/>
                <w:sz w:val="18"/>
                <w:szCs w:val="24"/>
              </w:rPr>
              <w:t>022</w:t>
            </w:r>
            <w:r>
              <w:rPr>
                <w:rFonts w:hint="eastAsia" w:ascii="Times New Roman" w:hAnsi="Times New Roman" w:eastAsia="宋体"/>
                <w:b w:val="0"/>
                <w:sz w:val="18"/>
                <w:szCs w:val="24"/>
              </w:rPr>
              <w:t>年8月5日，</w:t>
            </w:r>
            <w:r>
              <w:rPr>
                <w:rFonts w:hint="default" w:ascii="Times New Roman" w:hAnsi="Times New Roman" w:eastAsia="宋体"/>
                <w:b w:val="0"/>
                <w:sz w:val="18"/>
                <w:szCs w:val="24"/>
              </w:rPr>
              <w:t>市场监管总局</w:t>
            </w:r>
            <w:r>
              <w:rPr>
                <w:rFonts w:hint="eastAsia" w:ascii="Times New Roman" w:hAnsi="Times New Roman" w:eastAsia="宋体"/>
                <w:b w:val="0"/>
                <w:sz w:val="18"/>
                <w:szCs w:val="24"/>
              </w:rPr>
              <w:t>发布《“十四五”认证认可检验检测发展规划》（</w:t>
            </w:r>
            <w:r>
              <w:rPr>
                <w:rFonts w:hint="default" w:ascii="Times New Roman" w:hAnsi="Times New Roman" w:eastAsia="宋体"/>
                <w:b w:val="0"/>
                <w:sz w:val="18"/>
                <w:szCs w:val="24"/>
              </w:rPr>
              <w:t>国市监认证发〔2022〕69号）</w:t>
            </w:r>
            <w:r>
              <w:rPr>
                <w:rFonts w:hint="eastAsia" w:ascii="Times New Roman" w:hAnsi="Times New Roman" w:eastAsia="宋体"/>
                <w:b w:val="0"/>
                <w:sz w:val="18"/>
                <w:szCs w:val="24"/>
              </w:rPr>
              <w:t>要求“加快构建碳领域合格评定体系，以电力、化工、建材、钢铁、有色、造纸、汽车等行业为重点，研究制定全过程、全生命周期的合格评定解决方案，加强碳排放合格评定能力建设”，“健全森林认证等生态系统碳汇认证制度，规范开展碳足迹、碳标签等认证服务。”</w:t>
            </w:r>
          </w:p>
          <w:p>
            <w:pPr>
              <w:keepNext w:val="0"/>
              <w:keepLines w:val="0"/>
              <w:suppressLineNumbers w:val="0"/>
              <w:spacing w:before="0" w:beforeAutospacing="0" w:after="0" w:afterAutospacing="0"/>
              <w:ind w:left="0" w:right="0" w:firstLine="360" w:firstLineChars="200"/>
              <w:rPr>
                <w:rFonts w:hint="eastAsia" w:ascii="宋体" w:hAnsi="宋体" w:eastAsia="宋体" w:cs="宋体"/>
                <w:sz w:val="18"/>
              </w:rPr>
            </w:pPr>
            <w:r>
              <w:rPr>
                <w:rFonts w:hint="eastAsia" w:ascii="宋体" w:hAnsi="宋体" w:eastAsia="宋体" w:cs="宋体"/>
                <w:sz w:val="18"/>
              </w:rPr>
              <w:t>2023年11月13日国家发展改革委等部门关于《加快建立产品碳足迹管理体系的意见》（发改环资〔2023〕1529号）要求到“2025年，国家层面出台50个左右重点产品碳足迹核算规则和标准，一批重点行业碳足迹背景数据库初步建成，国家产品碳标识认证制度基本建立。到2030年，国家层面出台200个左右重点产品碳足迹核算规则和标准，一批覆盖范围广、数据质量高、国际影响力强的重点行业碳足迹背景数据库基本建成，产品碳足迹管理体系为经济社会发展全面绿色转型提供有力保障。”</w:t>
            </w:r>
          </w:p>
          <w:p>
            <w:pPr>
              <w:pStyle w:val="2"/>
              <w:suppressLineNumbers w:val="0"/>
              <w:spacing w:before="0" w:beforeAutospacing="0" w:after="0" w:afterAutospacing="0" w:line="240" w:lineRule="auto"/>
              <w:ind w:left="0" w:right="0" w:firstLine="360" w:firstLineChars="200"/>
              <w:rPr>
                <w:rFonts w:hint="default" w:ascii="Times New Roman" w:hAnsi="Times New Roman" w:eastAsia="宋体"/>
                <w:b w:val="0"/>
                <w:sz w:val="18"/>
                <w:szCs w:val="24"/>
              </w:rPr>
            </w:pPr>
            <w:r>
              <w:rPr>
                <w:rFonts w:hint="eastAsia" w:ascii="宋体" w:hAnsi="宋体" w:eastAsia="宋体" w:cs="宋体"/>
                <w:b w:val="0"/>
                <w:sz w:val="18"/>
                <w:szCs w:val="24"/>
              </w:rPr>
              <w:t>复合材料模压成型是一种将</w:t>
            </w:r>
            <w:r>
              <w:rPr>
                <w:rFonts w:hint="default" w:ascii="Times New Roman" w:hAnsi="Times New Roman" w:eastAsia="宋体"/>
                <w:b w:val="0"/>
                <w:sz w:val="18"/>
                <w:szCs w:val="24"/>
              </w:rPr>
              <w:t>预浸树脂复合材料经过预先设计的模具，通过一定的加热和压力处理，使其形成强度高、质量可控的成型工艺。其基本原理是利用热固性树脂的可流性和粘度变化特征，在一定时间和压力下，</w:t>
            </w:r>
            <w:r>
              <w:rPr>
                <w:rFonts w:hint="eastAsia" w:ascii="Times New Roman" w:hAnsi="Times New Roman" w:eastAsia="宋体"/>
                <w:b w:val="0"/>
                <w:sz w:val="18"/>
                <w:szCs w:val="24"/>
                <w:lang w:val="en-US" w:eastAsia="zh-CN"/>
              </w:rPr>
              <w:t>经过化学交联</w:t>
            </w:r>
            <w:r>
              <w:rPr>
                <w:rFonts w:hint="default" w:ascii="Times New Roman" w:hAnsi="Times New Roman" w:eastAsia="宋体"/>
                <w:b w:val="0"/>
                <w:sz w:val="18"/>
                <w:szCs w:val="24"/>
              </w:rPr>
              <w:t>形成特定的形态，高温固化后形成坚固的产品。</w:t>
            </w:r>
          </w:p>
          <w:p>
            <w:pPr>
              <w:snapToGrid w:val="0"/>
              <w:spacing w:line="360" w:lineRule="auto"/>
              <w:ind w:firstLine="360" w:firstLineChars="200"/>
              <w:rPr>
                <w:rFonts w:hint="eastAsia" w:ascii="宋体" w:hAnsi="宋体" w:eastAsia="宋体" w:cs="宋体"/>
                <w:b w:val="0"/>
                <w:sz w:val="18"/>
                <w:szCs w:val="24"/>
              </w:rPr>
            </w:pPr>
            <w:r>
              <w:rPr>
                <w:rFonts w:hint="eastAsia" w:ascii="宋体" w:hAnsi="宋体" w:eastAsia="宋体" w:cs="宋体"/>
                <w:b w:val="0"/>
                <w:sz w:val="18"/>
                <w:szCs w:val="24"/>
              </w:rPr>
              <w:t>复合材料模压制品的</w:t>
            </w:r>
            <w:r>
              <w:rPr>
                <w:rFonts w:hint="eastAsia" w:ascii="宋体" w:hAnsi="宋体" w:eastAsia="宋体" w:cs="宋体"/>
                <w:b w:val="0"/>
                <w:sz w:val="18"/>
                <w:szCs w:val="24"/>
                <w:lang w:val="en-US" w:eastAsia="zh-CN"/>
              </w:rPr>
              <w:t>主要</w:t>
            </w:r>
            <w:r>
              <w:rPr>
                <w:rFonts w:hint="eastAsia" w:ascii="宋体" w:hAnsi="宋体" w:eastAsia="宋体" w:cs="宋体"/>
                <w:b w:val="0"/>
                <w:sz w:val="18"/>
                <w:szCs w:val="24"/>
              </w:rPr>
              <w:t>原材料为玻璃纤维、碳纤维和热固性树脂</w:t>
            </w:r>
            <w:r>
              <w:rPr>
                <w:rFonts w:hint="eastAsia" w:ascii="宋体" w:hAnsi="宋体" w:eastAsia="宋体" w:cs="宋体"/>
                <w:b w:val="0"/>
                <w:sz w:val="18"/>
                <w:szCs w:val="24"/>
                <w:lang w:eastAsia="zh-CN"/>
              </w:rPr>
              <w:t>、</w:t>
            </w:r>
            <w:r>
              <w:rPr>
                <w:rFonts w:hint="eastAsia" w:ascii="宋体" w:hAnsi="宋体" w:eastAsia="宋体" w:cs="宋体"/>
                <w:b w:val="0"/>
                <w:sz w:val="18"/>
                <w:szCs w:val="24"/>
                <w:lang w:val="en-US" w:eastAsia="zh-CN"/>
              </w:rPr>
              <w:t>填料等</w:t>
            </w:r>
            <w:r>
              <w:rPr>
                <w:rFonts w:hint="eastAsia" w:ascii="宋体" w:hAnsi="宋体" w:eastAsia="宋体" w:cs="宋体"/>
                <w:b w:val="0"/>
                <w:sz w:val="18"/>
                <w:szCs w:val="24"/>
              </w:rPr>
              <w:t>。产品全生命周期</w:t>
            </w:r>
            <w:r>
              <w:rPr>
                <w:rFonts w:hint="eastAsia" w:ascii="宋体" w:hAnsi="宋体" w:eastAsia="宋体" w:cs="宋体"/>
                <w:b w:val="0"/>
                <w:sz w:val="18"/>
                <w:szCs w:val="24"/>
                <w:lang w:eastAsia="zh-CN"/>
              </w:rPr>
              <w:t>（</w:t>
            </w:r>
            <w:r>
              <w:rPr>
                <w:rFonts w:hint="eastAsia" w:ascii="宋体" w:hAnsi="宋体" w:eastAsia="宋体" w:cs="宋体"/>
                <w:b w:val="0"/>
                <w:sz w:val="18"/>
                <w:szCs w:val="24"/>
                <w:lang w:val="en-US" w:eastAsia="zh-CN"/>
              </w:rPr>
              <w:t>如下如图）</w:t>
            </w:r>
            <w:r>
              <w:rPr>
                <w:rFonts w:hint="eastAsia" w:ascii="宋体" w:hAnsi="宋体" w:eastAsia="宋体" w:cs="宋体"/>
                <w:b w:val="0"/>
                <w:sz w:val="18"/>
                <w:szCs w:val="24"/>
              </w:rPr>
              <w:t>的碳排放</w:t>
            </w:r>
            <w:r>
              <w:rPr>
                <w:rFonts w:hint="eastAsia" w:ascii="宋体" w:hAnsi="宋体" w:eastAsia="宋体" w:cs="宋体"/>
                <w:b w:val="0"/>
                <w:sz w:val="18"/>
                <w:szCs w:val="24"/>
                <w:lang w:val="en-US" w:eastAsia="zh-CN"/>
              </w:rPr>
              <w:t>主要</w:t>
            </w:r>
            <w:r>
              <w:rPr>
                <w:rFonts w:hint="eastAsia" w:ascii="宋体" w:hAnsi="宋体" w:eastAsia="宋体" w:cs="宋体"/>
                <w:b w:val="0"/>
                <w:sz w:val="18"/>
                <w:szCs w:val="24"/>
              </w:rPr>
              <w:t>有：玻璃纤维生产阶段高温熔制消耗的天然气和电力能源；碳纤维碳化</w:t>
            </w:r>
            <w:r>
              <w:rPr>
                <w:rFonts w:hint="eastAsia" w:ascii="宋体" w:hAnsi="宋体" w:eastAsia="宋体" w:cs="宋体"/>
                <w:b w:val="0"/>
                <w:sz w:val="18"/>
                <w:szCs w:val="24"/>
                <w:lang w:val="en-US" w:eastAsia="zh-CN"/>
              </w:rPr>
              <w:t>过程中</w:t>
            </w:r>
            <w:r>
              <w:rPr>
                <w:rFonts w:hint="eastAsia" w:ascii="宋体" w:hAnsi="宋体" w:eastAsia="宋体" w:cs="宋体"/>
                <w:b w:val="0"/>
                <w:sz w:val="18"/>
                <w:szCs w:val="24"/>
              </w:rPr>
              <w:t>消耗</w:t>
            </w:r>
            <w:r>
              <w:rPr>
                <w:rFonts w:hint="eastAsia" w:ascii="宋体" w:hAnsi="宋体" w:eastAsia="宋体" w:cs="宋体"/>
                <w:b w:val="0"/>
                <w:sz w:val="18"/>
                <w:szCs w:val="24"/>
                <w:lang w:val="en-US" w:eastAsia="zh-CN"/>
              </w:rPr>
              <w:t>的</w:t>
            </w:r>
            <w:r>
              <w:rPr>
                <w:rFonts w:hint="eastAsia" w:ascii="宋体" w:hAnsi="宋体" w:eastAsia="宋体" w:cs="宋体"/>
                <w:b w:val="0"/>
                <w:sz w:val="18"/>
                <w:szCs w:val="24"/>
              </w:rPr>
              <w:t>电力能源。树脂生产过程中包含高温加热、加压消耗的天然气和电力能源。产品模压过程中设备运行</w:t>
            </w:r>
            <w:r>
              <w:rPr>
                <w:rFonts w:hint="eastAsia" w:ascii="宋体" w:hAnsi="宋体" w:eastAsia="宋体" w:cs="宋体"/>
                <w:b w:val="0"/>
                <w:sz w:val="18"/>
                <w:szCs w:val="24"/>
                <w:lang w:eastAsia="zh-CN"/>
              </w:rPr>
              <w:t>、</w:t>
            </w:r>
            <w:r>
              <w:rPr>
                <w:rFonts w:hint="eastAsia" w:ascii="宋体" w:hAnsi="宋体" w:eastAsia="宋体" w:cs="宋体"/>
                <w:b w:val="0"/>
                <w:sz w:val="18"/>
                <w:szCs w:val="24"/>
                <w:lang w:val="en-US" w:eastAsia="zh-CN"/>
              </w:rPr>
              <w:t>模具加热等</w:t>
            </w:r>
            <w:r>
              <w:rPr>
                <w:rFonts w:hint="eastAsia" w:ascii="宋体" w:hAnsi="宋体" w:eastAsia="宋体" w:cs="宋体"/>
                <w:b w:val="0"/>
                <w:sz w:val="18"/>
                <w:szCs w:val="24"/>
              </w:rPr>
              <w:t>消耗的电力能源，运输过程中运输工具消耗的化石能源以及回收处理设备运行消耗的电力能源。</w:t>
            </w:r>
          </w:p>
          <w:p>
            <w:pPr>
              <w:pStyle w:val="2"/>
              <w:rPr>
                <w:rFonts w:hint="eastAsia"/>
              </w:rPr>
            </w:pPr>
            <w:r>
              <w:rPr>
                <w:rFonts w:hint="eastAsia" w:eastAsia="宋体"/>
                <w:lang w:eastAsia="zh-CN"/>
              </w:rPr>
              <w:drawing>
                <wp:inline distT="0" distB="0" distL="114300" distR="114300">
                  <wp:extent cx="4700905" cy="2524125"/>
                  <wp:effectExtent l="0" t="0" r="8255" b="5715"/>
                  <wp:docPr id="1" name="图片 1" descr="170503078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705030782668"/>
                          <pic:cNvPicPr>
                            <a:picLocks noChangeAspect="1"/>
                          </pic:cNvPicPr>
                        </pic:nvPicPr>
                        <pic:blipFill>
                          <a:blip r:embed="rId6"/>
                          <a:stretch>
                            <a:fillRect/>
                          </a:stretch>
                        </pic:blipFill>
                        <pic:spPr>
                          <a:xfrm>
                            <a:off x="0" y="0"/>
                            <a:ext cx="4700905" cy="2524125"/>
                          </a:xfrm>
                          <a:prstGeom prst="rect">
                            <a:avLst/>
                          </a:prstGeom>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360" w:firstLineChars="200"/>
              <w:textAlignment w:val="auto"/>
              <w:rPr>
                <w:rFonts w:hint="eastAsia" w:ascii="宋体" w:hAnsi="宋体" w:eastAsia="宋体" w:cs="宋体"/>
                <w:sz w:val="18"/>
              </w:rPr>
            </w:pPr>
            <w:r>
              <w:rPr>
                <w:rFonts w:hint="eastAsia" w:ascii="宋体" w:hAnsi="宋体" w:eastAsia="宋体" w:cs="宋体"/>
                <w:sz w:val="18"/>
              </w:rPr>
              <w:t>根据中国巨石官网数据，通过计算得到2022年，玻纤制备过程中产生的碳排放量约为0.39亿吨。</w:t>
            </w:r>
            <w:r>
              <w:rPr>
                <w:rFonts w:hint="eastAsia" w:ascii="宋体" w:hAnsi="宋体" w:eastAsia="宋体" w:cs="宋体"/>
                <w:sz w:val="18"/>
                <w:lang w:val="en-US" w:eastAsia="zh-CN"/>
              </w:rPr>
              <w:t>树脂属于</w:t>
            </w:r>
            <w:r>
              <w:rPr>
                <w:rFonts w:hint="eastAsia" w:ascii="宋体" w:hAnsi="宋体" w:eastAsia="宋体" w:cs="宋体"/>
                <w:sz w:val="18"/>
              </w:rPr>
              <w:t>石化行业</w:t>
            </w:r>
            <w:r>
              <w:rPr>
                <w:rFonts w:hint="eastAsia" w:ascii="宋体" w:hAnsi="宋体" w:eastAsia="宋体" w:cs="宋体"/>
                <w:sz w:val="18"/>
                <w:lang w:eastAsia="zh-CN"/>
              </w:rPr>
              <w:t>，</w:t>
            </w:r>
            <w:r>
              <w:rPr>
                <w:rFonts w:hint="eastAsia" w:ascii="宋体" w:hAnsi="宋体" w:eastAsia="宋体" w:cs="宋体"/>
                <w:sz w:val="18"/>
                <w:lang w:val="en-US" w:eastAsia="zh-CN"/>
              </w:rPr>
              <w:t>是</w:t>
            </w:r>
            <w:r>
              <w:rPr>
                <w:rFonts w:hint="eastAsia" w:ascii="宋体" w:hAnsi="宋体" w:eastAsia="宋体" w:cs="宋体"/>
                <w:sz w:val="18"/>
              </w:rPr>
              <w:t>国家碳减排八大重点行业之一，在生产过程中排放的二氧化碳约占全国碳排放总量的8.16%，约为14.5亿吨。</w:t>
            </w:r>
          </w:p>
          <w:p>
            <w:pPr>
              <w:keepNext w:val="0"/>
              <w:keepLines w:val="0"/>
              <w:widowControl w:val="0"/>
              <w:suppressLineNumbers w:val="0"/>
              <w:spacing w:before="0" w:beforeAutospacing="0" w:after="0" w:afterAutospacing="0"/>
              <w:ind w:left="0" w:right="0" w:firstLine="360" w:firstLineChars="200"/>
              <w:jc w:val="both"/>
              <w:rPr>
                <w:rFonts w:hint="eastAsia" w:ascii="宋体" w:hAnsi="宋体" w:eastAsia="宋体" w:cs="宋体"/>
                <w:sz w:val="18"/>
              </w:rPr>
            </w:pPr>
            <w:r>
              <w:rPr>
                <w:rFonts w:hint="eastAsia" w:ascii="宋体" w:hAnsi="宋体" w:eastAsia="宋体" w:cs="宋体"/>
                <w:sz w:val="18"/>
              </w:rPr>
              <w:t>模压工艺是复合材料成型重要的工艺方法之一，通过核算复合材料模压制品全生命周期碳足迹，可以了解产品各阶段碳排放情况，为企业寻求减碳，提升技术能力提供方向。剖析企业与产品各阶段的碳排放量，确认重点排放环节，寻求减碳增效措施，为企业核查组织层面碳排放提供数据支撑，也可用于产品市场宣传，提升产品附加价值，满足消费者/客户对低碳商品的采购需求，引导低碳产品市场；并且有助于企业申请国家绿色制造项目</w:t>
            </w:r>
            <w:r>
              <w:rPr>
                <w:rFonts w:hint="eastAsia" w:ascii="宋体" w:hAnsi="宋体" w:eastAsia="宋体" w:cs="宋体"/>
                <w:kern w:val="2"/>
                <w:sz w:val="18"/>
                <w:szCs w:val="24"/>
                <w:lang w:val="en-US" w:eastAsia="zh-CN" w:bidi="ar"/>
              </w:rPr>
              <w:t>在国家“双碳”政策背景下，积极响应国家政策，为国家“碳达峰、碳中和”做出贡献。</w:t>
            </w:r>
          </w:p>
          <w:p>
            <w:pPr>
              <w:snapToGrid w:val="0"/>
              <w:spacing w:line="360" w:lineRule="auto"/>
              <w:ind w:firstLine="360" w:firstLineChars="200"/>
              <w:rPr>
                <w:rFonts w:hint="eastAsia"/>
              </w:rPr>
            </w:pPr>
            <w:r>
              <w:rPr>
                <w:rFonts w:hint="eastAsia" w:ascii="Times New Roman" w:hAnsi="Times New Roman" w:eastAsia="宋体"/>
                <w:b w:val="0"/>
                <w:sz w:val="18"/>
                <w:szCs w:val="24"/>
              </w:rPr>
              <w:t>目前，</w:t>
            </w:r>
            <w:r>
              <w:rPr>
                <w:rFonts w:hint="eastAsia" w:ascii="Times New Roman" w:hAnsi="Times New Roman" w:eastAsia="宋体"/>
                <w:b w:val="0"/>
                <w:sz w:val="18"/>
                <w:szCs w:val="24"/>
                <w:lang w:val="en-US" w:eastAsia="zh-CN"/>
              </w:rPr>
              <w:t>美国和欧盟通过碳关税限制我国产业高质量发展，</w:t>
            </w:r>
            <w:r>
              <w:rPr>
                <w:rFonts w:hint="default" w:ascii="Times New Roman" w:hAnsi="Times New Roman" w:eastAsia="宋体"/>
                <w:b w:val="0"/>
                <w:sz w:val="18"/>
                <w:szCs w:val="24"/>
              </w:rPr>
              <w:t>企业将产品碳足迹纳入可持续供应链管理要求，</w:t>
            </w:r>
            <w:r>
              <w:rPr>
                <w:rFonts w:hint="eastAsia" w:ascii="Times New Roman" w:hAnsi="Times New Roman" w:eastAsia="宋体"/>
                <w:b w:val="0"/>
                <w:sz w:val="18"/>
                <w:szCs w:val="24"/>
                <w:lang w:val="en-US" w:eastAsia="zh-CN"/>
              </w:rPr>
              <w:t>是应对欧美限制的基础举措</w:t>
            </w:r>
            <w:r>
              <w:rPr>
                <w:rFonts w:hint="default" w:ascii="Times New Roman" w:hAnsi="Times New Roman" w:eastAsia="宋体"/>
                <w:b w:val="0"/>
                <w:sz w:val="18"/>
                <w:szCs w:val="24"/>
              </w:rPr>
              <w:t>。产品的“绿色”含量将直接影响其国际市场竞争力。</w:t>
            </w:r>
            <w:r>
              <w:rPr>
                <w:rFonts w:hint="eastAsia" w:ascii="Times New Roman" w:hAnsi="Times New Roman" w:eastAsia="宋体"/>
                <w:b w:val="0"/>
                <w:sz w:val="18"/>
                <w:szCs w:val="24"/>
              </w:rPr>
              <w:t>核算产品碳足迹，了解产品碳排情况，有助于企业</w:t>
            </w:r>
            <w:r>
              <w:rPr>
                <w:rFonts w:hint="default" w:ascii="Times New Roman" w:hAnsi="Times New Roman" w:eastAsia="宋体"/>
                <w:b w:val="0"/>
                <w:sz w:val="18"/>
                <w:szCs w:val="24"/>
              </w:rPr>
              <w:t>克服国际绿色贸易壁垒，为产品进入国际市场做准备</w:t>
            </w:r>
            <w:r>
              <w:rPr>
                <w:rFonts w:hint="eastAsia" w:ascii="Times New Roman" w:hAnsi="Times New Roman" w:eastAsia="宋体"/>
                <w:b w:val="0"/>
                <w:sz w:val="18"/>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jc w:val="center"/>
        </w:trPr>
        <w:tc>
          <w:tcPr>
            <w:tcW w:w="2167" w:type="dxa"/>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范围和主要</w:t>
            </w:r>
          </w:p>
          <w:p>
            <w:pPr>
              <w:snapToGrid w:val="0"/>
              <w:spacing w:line="360" w:lineRule="auto"/>
              <w:jc w:val="center"/>
              <w:rPr>
                <w:rFonts w:ascii="宋体" w:hAnsi="宋体" w:eastAsia="宋体"/>
                <w:sz w:val="18"/>
                <w:szCs w:val="18"/>
              </w:rPr>
            </w:pPr>
            <w:r>
              <w:rPr>
                <w:rFonts w:hint="eastAsia" w:ascii="宋体" w:hAnsi="宋体" w:eastAsia="宋体"/>
                <w:sz w:val="18"/>
                <w:szCs w:val="18"/>
              </w:rPr>
              <w:t>技术内容</w:t>
            </w:r>
          </w:p>
        </w:tc>
        <w:tc>
          <w:tcPr>
            <w:tcW w:w="7573" w:type="dxa"/>
            <w:gridSpan w:val="8"/>
            <w:vAlign w:val="center"/>
          </w:tcPr>
          <w:p>
            <w:pPr>
              <w:snapToGrid w:val="0"/>
              <w:spacing w:line="360" w:lineRule="auto"/>
              <w:ind w:firstLine="360" w:firstLineChars="200"/>
              <w:rPr>
                <w:rFonts w:hint="default" w:ascii="Times New Roman" w:hAnsi="Times New Roman" w:eastAsia="宋体"/>
                <w:b w:val="0"/>
                <w:sz w:val="18"/>
                <w:szCs w:val="24"/>
              </w:rPr>
            </w:pPr>
            <w:r>
              <w:rPr>
                <w:rFonts w:hint="eastAsia" w:ascii="Times New Roman" w:hAnsi="Times New Roman" w:eastAsia="宋体"/>
                <w:b w:val="0"/>
                <w:sz w:val="18"/>
                <w:szCs w:val="24"/>
              </w:rPr>
              <w:t>本标准主要复合材料模压制品产品碳足迹的术语与定义、总则、产品及规格型号描述、产品碳足迹的系统边界、核算数据收集进行了规定。</w:t>
            </w:r>
          </w:p>
          <w:p>
            <w:pPr>
              <w:snapToGrid w:val="0"/>
              <w:spacing w:line="360" w:lineRule="auto"/>
              <w:ind w:firstLine="360" w:firstLineChars="200"/>
              <w:rPr>
                <w:rFonts w:hint="default" w:ascii="Times New Roman" w:hAnsi="Times New Roman" w:eastAsia="宋体"/>
                <w:b w:val="0"/>
                <w:sz w:val="18"/>
                <w:szCs w:val="24"/>
              </w:rPr>
            </w:pPr>
            <w:r>
              <w:rPr>
                <w:rFonts w:hint="default" w:ascii="Times New Roman" w:hAnsi="Times New Roman" w:eastAsia="宋体"/>
                <w:b w:val="0"/>
                <w:sz w:val="18"/>
                <w:szCs w:val="24"/>
              </w:rPr>
              <w:t xml:space="preserve">1. </w:t>
            </w:r>
            <w:r>
              <w:rPr>
                <w:rFonts w:hint="eastAsia" w:ascii="Times New Roman" w:hAnsi="Times New Roman" w:eastAsia="宋体"/>
                <w:b w:val="0"/>
                <w:sz w:val="18"/>
                <w:szCs w:val="24"/>
              </w:rPr>
              <w:t>详细说明产品种类及产品描述，明确产品功能单位；</w:t>
            </w:r>
          </w:p>
          <w:p>
            <w:pPr>
              <w:snapToGrid w:val="0"/>
              <w:spacing w:line="360" w:lineRule="auto"/>
              <w:ind w:firstLine="360" w:firstLineChars="200"/>
              <w:rPr>
                <w:rFonts w:hint="default" w:ascii="Times New Roman" w:hAnsi="Times New Roman" w:eastAsia="宋体"/>
                <w:b w:val="0"/>
                <w:sz w:val="18"/>
                <w:szCs w:val="24"/>
              </w:rPr>
            </w:pPr>
            <w:r>
              <w:rPr>
                <w:rFonts w:hint="default" w:ascii="Times New Roman" w:hAnsi="Times New Roman" w:eastAsia="宋体"/>
                <w:b w:val="0"/>
                <w:sz w:val="18"/>
                <w:szCs w:val="24"/>
              </w:rPr>
              <w:t xml:space="preserve">2. </w:t>
            </w:r>
            <w:r>
              <w:rPr>
                <w:rFonts w:hint="eastAsia" w:ascii="Times New Roman" w:hAnsi="Times New Roman" w:eastAsia="宋体"/>
                <w:b w:val="0"/>
                <w:sz w:val="18"/>
                <w:szCs w:val="24"/>
              </w:rPr>
              <w:t>明确产品生命周期系统边界及生命周期各阶段生产过程工序；</w:t>
            </w:r>
          </w:p>
          <w:p>
            <w:pPr>
              <w:snapToGrid w:val="0"/>
              <w:spacing w:line="360" w:lineRule="auto"/>
              <w:ind w:firstLine="360" w:firstLineChars="200"/>
              <w:rPr>
                <w:rFonts w:hint="default" w:ascii="Times New Roman" w:hAnsi="Times New Roman" w:eastAsia="宋体"/>
                <w:b w:val="0"/>
                <w:sz w:val="18"/>
                <w:szCs w:val="24"/>
              </w:rPr>
            </w:pPr>
            <w:r>
              <w:rPr>
                <w:rFonts w:hint="default" w:ascii="Times New Roman" w:hAnsi="Times New Roman" w:eastAsia="宋体"/>
                <w:b w:val="0"/>
                <w:sz w:val="18"/>
                <w:szCs w:val="24"/>
              </w:rPr>
              <w:t xml:space="preserve">3. </w:t>
            </w:r>
            <w:r>
              <w:rPr>
                <w:rFonts w:hint="eastAsia" w:ascii="Times New Roman" w:hAnsi="Times New Roman" w:eastAsia="宋体"/>
                <w:b w:val="0"/>
                <w:sz w:val="18"/>
                <w:szCs w:val="24"/>
              </w:rPr>
              <w:t>明确数据收集规则、数据取舍原则及生命周期各阶段数据收集要求；</w:t>
            </w:r>
          </w:p>
          <w:p>
            <w:pPr>
              <w:snapToGrid w:val="0"/>
              <w:spacing w:line="360" w:lineRule="auto"/>
              <w:ind w:firstLine="360" w:firstLineChars="200"/>
              <w:rPr>
                <w:rFonts w:hint="default" w:ascii="Times New Roman" w:hAnsi="Times New Roman" w:eastAsia="宋体"/>
                <w:b w:val="0"/>
                <w:sz w:val="18"/>
                <w:szCs w:val="24"/>
              </w:rPr>
            </w:pPr>
            <w:r>
              <w:rPr>
                <w:rFonts w:hint="default" w:ascii="Times New Roman" w:hAnsi="Times New Roman" w:eastAsia="宋体"/>
                <w:b w:val="0"/>
                <w:sz w:val="18"/>
                <w:szCs w:val="24"/>
              </w:rPr>
              <w:t>4.</w:t>
            </w:r>
            <w:r>
              <w:rPr>
                <w:rFonts w:hint="eastAsia" w:ascii="Times New Roman" w:hAnsi="Times New Roman" w:eastAsia="宋体"/>
                <w:b w:val="0"/>
                <w:sz w:val="18"/>
                <w:szCs w:val="24"/>
              </w:rPr>
              <w:t xml:space="preserve"> 根据确认的排放源及收集的数据生成碳足迹报告。</w:t>
            </w:r>
          </w:p>
          <w:p>
            <w:pPr>
              <w:snapToGrid w:val="0"/>
              <w:spacing w:line="360" w:lineRule="auto"/>
              <w:ind w:firstLine="360" w:firstLineChars="200"/>
              <w:rPr>
                <w:rFonts w:hint="eastAsia" w:ascii="宋体" w:hAnsi="宋体" w:eastAsia="宋体"/>
                <w:sz w:val="18"/>
                <w:szCs w:val="18"/>
              </w:rPr>
            </w:pPr>
            <w:r>
              <w:rPr>
                <w:rFonts w:hint="eastAsia" w:ascii="Times New Roman" w:hAnsi="Times New Roman" w:eastAsia="宋体"/>
                <w:b w:val="0"/>
                <w:sz w:val="18"/>
                <w:szCs w:val="24"/>
              </w:rPr>
              <w:t>本标准适用于复合材料模压制品的碳足迹核算。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3" w:hRule="atLeast"/>
          <w:jc w:val="center"/>
        </w:trPr>
        <w:tc>
          <w:tcPr>
            <w:tcW w:w="2167" w:type="dxa"/>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国内外情况</w:t>
            </w:r>
          </w:p>
          <w:p>
            <w:pPr>
              <w:snapToGrid w:val="0"/>
              <w:spacing w:line="360" w:lineRule="auto"/>
              <w:jc w:val="center"/>
              <w:rPr>
                <w:rFonts w:hint="eastAsia" w:ascii="宋体" w:hAnsi="宋体" w:eastAsia="宋体"/>
                <w:sz w:val="18"/>
                <w:szCs w:val="18"/>
              </w:rPr>
            </w:pPr>
            <w:r>
              <w:rPr>
                <w:rFonts w:hint="eastAsia" w:ascii="宋体" w:hAnsi="宋体" w:eastAsia="宋体"/>
                <w:sz w:val="18"/>
                <w:szCs w:val="18"/>
              </w:rPr>
              <w:t>简要说明</w:t>
            </w:r>
          </w:p>
        </w:tc>
        <w:tc>
          <w:tcPr>
            <w:tcW w:w="7573" w:type="dxa"/>
            <w:gridSpan w:val="8"/>
            <w:vAlign w:val="center"/>
          </w:tcPr>
          <w:p>
            <w:pPr>
              <w:numPr>
                <w:ilvl w:val="0"/>
                <w:numId w:val="1"/>
              </w:numPr>
              <w:rPr>
                <w:rFonts w:hint="eastAsia" w:ascii="Times New Roman" w:hAnsi="Times New Roman" w:eastAsia="宋体"/>
                <w:b w:val="0"/>
                <w:sz w:val="18"/>
                <w:szCs w:val="24"/>
              </w:rPr>
            </w:pPr>
            <w:r>
              <w:rPr>
                <w:rFonts w:hint="eastAsia" w:ascii="Times New Roman" w:hAnsi="Times New Roman" w:eastAsia="宋体"/>
                <w:b w:val="0"/>
                <w:sz w:val="18"/>
                <w:szCs w:val="24"/>
              </w:rPr>
              <w:t>国内外对该技术研究情况简要说明：</w:t>
            </w:r>
          </w:p>
          <w:p>
            <w:pPr>
              <w:ind w:firstLine="360" w:firstLineChars="200"/>
              <w:rPr>
                <w:rFonts w:hint="eastAsia" w:ascii="Times New Roman" w:hAnsi="Times New Roman" w:eastAsia="宋体"/>
                <w:b w:val="0"/>
                <w:sz w:val="18"/>
                <w:szCs w:val="24"/>
              </w:rPr>
            </w:pPr>
            <w:r>
              <w:rPr>
                <w:rFonts w:hint="eastAsia" w:ascii="Times New Roman" w:hAnsi="Times New Roman" w:eastAsia="宋体"/>
                <w:b w:val="0"/>
                <w:sz w:val="18"/>
                <w:szCs w:val="24"/>
              </w:rPr>
              <w:t>国外关于碳足迹的标准，ISO14067《温室气体 产品碳足迹 量化要求和指南》给出的是产品碳足迹的量化要求及指南，而PAS2050《商品和服务在生命周期内的温室气体排放评价规范》是对产品整个生命周期的评价，是总纲性文件，对明确到具体产品的碳足迹评价，可以作为参考文件使用。</w:t>
            </w:r>
          </w:p>
          <w:p>
            <w:pPr>
              <w:ind w:firstLine="360" w:firstLineChars="200"/>
              <w:rPr>
                <w:rFonts w:hint="eastAsia" w:ascii="Times New Roman" w:hAnsi="Times New Roman" w:eastAsia="宋体"/>
                <w:b w:val="0"/>
                <w:sz w:val="18"/>
                <w:szCs w:val="24"/>
              </w:rPr>
            </w:pPr>
            <w:r>
              <w:rPr>
                <w:rFonts w:hint="eastAsia" w:ascii="Times New Roman" w:hAnsi="Times New Roman" w:eastAsia="宋体"/>
                <w:b w:val="0"/>
                <w:sz w:val="18"/>
                <w:szCs w:val="24"/>
              </w:rPr>
              <w:t>国内，关于碳足迹相关标准正在制定中，没有关于复合材料模压制品相关碳足迹标准。</w:t>
            </w:r>
          </w:p>
          <w:p>
            <w:pPr>
              <w:numPr>
                <w:ilvl w:val="0"/>
                <w:numId w:val="1"/>
              </w:numPr>
              <w:ind w:left="0" w:leftChars="0" w:firstLine="0" w:firstLineChars="0"/>
              <w:rPr>
                <w:rFonts w:hint="eastAsia" w:ascii="Times New Roman" w:hAnsi="Times New Roman" w:eastAsia="宋体"/>
                <w:b w:val="0"/>
                <w:sz w:val="18"/>
                <w:szCs w:val="24"/>
              </w:rPr>
            </w:pPr>
            <w:r>
              <w:rPr>
                <w:rFonts w:hint="eastAsia" w:ascii="Times New Roman" w:hAnsi="Times New Roman" w:eastAsia="宋体"/>
                <w:b w:val="0"/>
                <w:sz w:val="18"/>
                <w:szCs w:val="24"/>
              </w:rPr>
              <w:t>项目与国际标准或国外先进标准采用程度的考虑：</w:t>
            </w:r>
          </w:p>
          <w:p>
            <w:pPr>
              <w:ind w:firstLine="360" w:firstLineChars="200"/>
              <w:rPr>
                <w:rFonts w:hint="eastAsia" w:ascii="Times New Roman" w:hAnsi="Times New Roman" w:eastAsia="宋体"/>
                <w:b w:val="0"/>
                <w:sz w:val="18"/>
                <w:szCs w:val="24"/>
              </w:rPr>
            </w:pPr>
            <w:r>
              <w:rPr>
                <w:rFonts w:hint="eastAsia" w:ascii="Times New Roman" w:hAnsi="Times New Roman" w:eastAsia="宋体"/>
                <w:b w:val="0"/>
                <w:sz w:val="18"/>
                <w:szCs w:val="24"/>
              </w:rPr>
              <w:t>该标准项目目前尚无对应的国际标准或国外先进标准。</w:t>
            </w:r>
          </w:p>
          <w:p>
            <w:pPr>
              <w:numPr>
                <w:ilvl w:val="0"/>
                <w:numId w:val="1"/>
              </w:numPr>
              <w:ind w:left="0" w:leftChars="0" w:firstLine="0" w:firstLineChars="0"/>
              <w:rPr>
                <w:rFonts w:hint="eastAsia" w:ascii="Times New Roman" w:hAnsi="Times New Roman" w:eastAsia="宋体"/>
                <w:b w:val="0"/>
                <w:sz w:val="18"/>
                <w:szCs w:val="24"/>
              </w:rPr>
            </w:pPr>
            <w:r>
              <w:rPr>
                <w:rFonts w:hint="eastAsia" w:ascii="Times New Roman" w:hAnsi="Times New Roman" w:eastAsia="宋体"/>
                <w:b w:val="0"/>
                <w:sz w:val="18"/>
                <w:szCs w:val="24"/>
              </w:rPr>
              <w:t>与国内相关标准间的关系：</w:t>
            </w:r>
            <w:bookmarkStart w:id="0" w:name="_Hlk33710103"/>
          </w:p>
          <w:p>
            <w:pPr>
              <w:ind w:firstLine="360" w:firstLineChars="200"/>
              <w:rPr>
                <w:rFonts w:hint="eastAsia" w:ascii="Times New Roman" w:hAnsi="Times New Roman" w:eastAsia="宋体"/>
                <w:b w:val="0"/>
                <w:sz w:val="18"/>
                <w:szCs w:val="24"/>
              </w:rPr>
            </w:pPr>
            <w:bookmarkStart w:id="1" w:name="_GoBack"/>
            <w:r>
              <w:rPr>
                <w:rFonts w:hint="eastAsia" w:ascii="Times New Roman" w:hAnsi="Times New Roman" w:eastAsia="宋体"/>
                <w:b w:val="0"/>
                <w:sz w:val="18"/>
                <w:szCs w:val="24"/>
              </w:rPr>
              <w:t>该标准将参考ISO14067《温室气体 产品碳足迹 量化要求和指南》进行相关术语的定义；</w:t>
            </w:r>
          </w:p>
          <w:p>
            <w:pPr>
              <w:ind w:firstLine="360" w:firstLineChars="200"/>
              <w:rPr>
                <w:rFonts w:hint="eastAsia" w:ascii="Times New Roman" w:hAnsi="Times New Roman" w:eastAsia="宋体"/>
                <w:b w:val="0"/>
                <w:sz w:val="18"/>
                <w:szCs w:val="24"/>
              </w:rPr>
            </w:pPr>
            <w:r>
              <w:rPr>
                <w:rFonts w:hint="eastAsia" w:ascii="Times New Roman" w:hAnsi="Times New Roman" w:eastAsia="宋体"/>
                <w:b w:val="0"/>
                <w:sz w:val="18"/>
                <w:szCs w:val="24"/>
              </w:rPr>
              <w:t>该标准将参考PAS2050《商品和服务在生命周期内的温室气体排放评价规范》、DB44∕T 1874《产品碳足迹 产品种类规则 巴氏杀菌乳》的结构及内容开展编制工作。</w:t>
            </w:r>
            <w:bookmarkEnd w:id="0"/>
          </w:p>
          <w:bookmarkEnd w:id="1"/>
          <w:p>
            <w:pPr>
              <w:numPr>
                <w:ilvl w:val="0"/>
                <w:numId w:val="1"/>
              </w:numPr>
              <w:ind w:left="0" w:leftChars="0" w:firstLine="0" w:firstLineChars="0"/>
              <w:rPr>
                <w:rFonts w:hint="eastAsia" w:ascii="宋体" w:hAnsi="宋体" w:eastAsia="宋体"/>
                <w:sz w:val="18"/>
                <w:szCs w:val="18"/>
              </w:rPr>
            </w:pPr>
            <w:r>
              <w:rPr>
                <w:rFonts w:hint="eastAsia" w:ascii="Times New Roman" w:hAnsi="Times New Roman" w:eastAsia="宋体"/>
                <w:b w:val="0"/>
                <w:sz w:val="18"/>
                <w:szCs w:val="24"/>
              </w:rPr>
              <w:t>指出是否发现有知识产权的问题；无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2" w:hRule="atLeast"/>
          <w:jc w:val="center"/>
        </w:trPr>
        <w:tc>
          <w:tcPr>
            <w:tcW w:w="2167" w:type="dxa"/>
            <w:vAlign w:val="center"/>
          </w:tcPr>
          <w:p>
            <w:pPr>
              <w:pStyle w:val="4"/>
              <w:tabs>
                <w:tab w:val="clear" w:pos="4153"/>
                <w:tab w:val="clear" w:pos="8306"/>
              </w:tabs>
              <w:spacing w:line="360" w:lineRule="auto"/>
              <w:rPr>
                <w:rFonts w:hint="eastAsia" w:ascii="宋体" w:hAnsi="宋体" w:eastAsia="宋体"/>
                <w:szCs w:val="18"/>
              </w:rPr>
            </w:pPr>
            <w:r>
              <w:rPr>
                <w:rFonts w:hint="eastAsia" w:ascii="宋体" w:hAnsi="宋体" w:eastAsia="宋体"/>
                <w:szCs w:val="18"/>
              </w:rPr>
              <w:t>牵头单位</w:t>
            </w:r>
          </w:p>
        </w:tc>
        <w:tc>
          <w:tcPr>
            <w:tcW w:w="3972" w:type="dxa"/>
            <w:gridSpan w:val="5"/>
            <w:vAlign w:val="center"/>
          </w:tcPr>
          <w:p>
            <w:pPr>
              <w:snapToGrid w:val="0"/>
              <w:spacing w:line="360" w:lineRule="auto"/>
              <w:jc w:val="center"/>
              <w:rPr>
                <w:rFonts w:hint="eastAsia" w:ascii="宋体" w:hAnsi="宋体" w:eastAsia="宋体"/>
                <w:sz w:val="18"/>
                <w:szCs w:val="18"/>
              </w:rPr>
            </w:pPr>
          </w:p>
          <w:p>
            <w:pPr>
              <w:snapToGrid w:val="0"/>
              <w:spacing w:line="360" w:lineRule="auto"/>
              <w:jc w:val="center"/>
              <w:rPr>
                <w:rFonts w:ascii="宋体" w:hAnsi="宋体" w:eastAsia="宋体"/>
                <w:sz w:val="18"/>
                <w:szCs w:val="18"/>
              </w:rPr>
            </w:pPr>
            <w:r>
              <w:rPr>
                <w:rFonts w:hint="eastAsia" w:ascii="宋体" w:hAnsi="宋体" w:eastAsia="宋体"/>
                <w:sz w:val="18"/>
                <w:szCs w:val="18"/>
              </w:rPr>
              <w:t>（签字、盖公章）月     日</w:t>
            </w:r>
          </w:p>
        </w:tc>
        <w:tc>
          <w:tcPr>
            <w:tcW w:w="1701" w:type="dxa"/>
            <w:gridSpan w:val="2"/>
            <w:vAlign w:val="center"/>
          </w:tcPr>
          <w:p>
            <w:pPr>
              <w:snapToGrid w:val="0"/>
              <w:spacing w:line="360" w:lineRule="auto"/>
              <w:jc w:val="center"/>
              <w:rPr>
                <w:rFonts w:hint="eastAsia" w:ascii="宋体" w:hAnsi="宋体" w:eastAsia="宋体"/>
                <w:sz w:val="18"/>
                <w:szCs w:val="18"/>
              </w:rPr>
            </w:pPr>
            <w:r>
              <w:rPr>
                <w:rFonts w:hint="eastAsia" w:ascii="宋体" w:hAnsi="宋体" w:eastAsia="宋体"/>
                <w:sz w:val="18"/>
                <w:szCs w:val="18"/>
              </w:rPr>
              <w:t>归口管理部门</w:t>
            </w:r>
          </w:p>
        </w:tc>
        <w:tc>
          <w:tcPr>
            <w:tcW w:w="1900" w:type="dxa"/>
            <w:vAlign w:val="center"/>
          </w:tcPr>
          <w:p>
            <w:pPr>
              <w:snapToGrid w:val="0"/>
              <w:spacing w:line="360" w:lineRule="auto"/>
              <w:rPr>
                <w:rFonts w:hint="eastAsia" w:ascii="宋体" w:hAnsi="宋体" w:eastAsia="宋体"/>
                <w:sz w:val="18"/>
                <w:szCs w:val="18"/>
              </w:rPr>
            </w:pPr>
          </w:p>
          <w:p>
            <w:pPr>
              <w:snapToGrid w:val="0"/>
              <w:rPr>
                <w:rFonts w:hint="eastAsia" w:ascii="宋体" w:hAnsi="宋体" w:eastAsia="宋体"/>
                <w:sz w:val="18"/>
                <w:szCs w:val="18"/>
              </w:rPr>
            </w:pPr>
            <w:r>
              <w:rPr>
                <w:rFonts w:hint="eastAsia" w:ascii="宋体" w:hAnsi="宋体" w:eastAsia="宋体"/>
                <w:sz w:val="18"/>
                <w:szCs w:val="18"/>
              </w:rPr>
              <w:t>（签字、盖公章）</w:t>
            </w:r>
          </w:p>
          <w:p>
            <w:pPr>
              <w:snapToGrid w:val="0"/>
              <w:rPr>
                <w:rFonts w:ascii="宋体" w:hAnsi="宋体" w:eastAsia="宋体"/>
                <w:sz w:val="18"/>
                <w:szCs w:val="18"/>
              </w:rPr>
            </w:pPr>
            <w:r>
              <w:rPr>
                <w:rFonts w:hint="eastAsia" w:ascii="宋体" w:hAnsi="宋体" w:eastAsia="宋体"/>
                <w:sz w:val="18"/>
                <w:szCs w:val="18"/>
              </w:rPr>
              <w:t xml:space="preserve">    月     日</w:t>
            </w:r>
          </w:p>
        </w:tc>
      </w:tr>
    </w:tbl>
    <w:p>
      <w:pPr>
        <w:snapToGrid w:val="0"/>
        <w:spacing w:beforeLines="50"/>
        <w:ind w:firstLine="503" w:firstLineChars="280"/>
        <w:rPr>
          <w:rFonts w:hint="eastAsia" w:ascii="宋体" w:hAnsi="宋体" w:eastAsia="宋体"/>
          <w:sz w:val="18"/>
          <w:szCs w:val="18"/>
        </w:rPr>
      </w:pPr>
      <w:r>
        <w:rPr>
          <w:rFonts w:ascii="宋体" w:hAnsi="宋体" w:eastAsia="宋体"/>
          <w:sz w:val="18"/>
          <w:szCs w:val="18"/>
        </w:rPr>
        <w:t>[</w:t>
      </w:r>
      <w:r>
        <w:rPr>
          <w:rFonts w:hint="eastAsia" w:ascii="宋体" w:hAnsi="宋体" w:eastAsia="宋体"/>
          <w:sz w:val="18"/>
          <w:szCs w:val="18"/>
        </w:rPr>
        <w:t>注1</w:t>
      </w:r>
      <w:r>
        <w:rPr>
          <w:rFonts w:ascii="宋体" w:hAnsi="宋体" w:eastAsia="宋体"/>
          <w:sz w:val="18"/>
          <w:szCs w:val="18"/>
        </w:rPr>
        <w:t xml:space="preserve">] </w:t>
      </w:r>
      <w:r>
        <w:rPr>
          <w:rFonts w:hint="eastAsia" w:ascii="宋体" w:hAnsi="宋体" w:eastAsia="宋体"/>
          <w:sz w:val="18"/>
          <w:szCs w:val="18"/>
        </w:rPr>
        <w:t xml:space="preserve"> 填写制定或修订项目中，若选择修订必须填写被修订标准号；</w:t>
      </w:r>
    </w:p>
    <w:p>
      <w:pPr>
        <w:snapToGrid w:val="0"/>
        <w:ind w:firstLine="503" w:firstLineChars="280"/>
        <w:rPr>
          <w:rFonts w:hint="eastAsia" w:ascii="宋体" w:hAnsi="宋体" w:eastAsia="宋体"/>
          <w:sz w:val="18"/>
          <w:szCs w:val="18"/>
        </w:rPr>
      </w:pPr>
      <w:r>
        <w:rPr>
          <w:rFonts w:ascii="宋体" w:hAnsi="宋体" w:eastAsia="宋体"/>
          <w:sz w:val="18"/>
          <w:szCs w:val="18"/>
        </w:rPr>
        <w:t>[</w:t>
      </w:r>
      <w:r>
        <w:rPr>
          <w:rFonts w:hint="eastAsia" w:ascii="宋体" w:hAnsi="宋体" w:eastAsia="宋体"/>
          <w:sz w:val="18"/>
          <w:szCs w:val="18"/>
        </w:rPr>
        <w:t>注2</w:t>
      </w:r>
      <w:r>
        <w:rPr>
          <w:rFonts w:ascii="宋体" w:hAnsi="宋体" w:eastAsia="宋体"/>
          <w:sz w:val="18"/>
          <w:szCs w:val="18"/>
        </w:rPr>
        <w:t>]</w:t>
      </w:r>
      <w:r>
        <w:rPr>
          <w:rFonts w:hint="eastAsia" w:ascii="宋体" w:hAnsi="宋体" w:eastAsia="宋体"/>
          <w:sz w:val="18"/>
          <w:szCs w:val="18"/>
        </w:rPr>
        <w:t xml:space="preserve">  选择采用国际标准，必须填写采标号及采用程度；</w:t>
      </w:r>
    </w:p>
    <w:p>
      <w:pPr>
        <w:snapToGrid w:val="0"/>
        <w:ind w:left="448" w:leftChars="160" w:firstLine="54" w:firstLineChars="30"/>
        <w:rPr>
          <w:rFonts w:hint="eastAsia"/>
          <w:sz w:val="18"/>
          <w:szCs w:val="18"/>
        </w:rPr>
      </w:pPr>
      <w:r>
        <w:rPr>
          <w:rFonts w:ascii="宋体" w:hAnsi="宋体" w:eastAsia="宋体"/>
          <w:sz w:val="18"/>
          <w:szCs w:val="18"/>
        </w:rPr>
        <w:t>[</w:t>
      </w:r>
      <w:r>
        <w:rPr>
          <w:rFonts w:hint="eastAsia" w:ascii="宋体" w:hAnsi="宋体" w:eastAsia="宋体"/>
          <w:sz w:val="18"/>
          <w:szCs w:val="18"/>
        </w:rPr>
        <w:t>注3</w:t>
      </w:r>
      <w:r>
        <w:rPr>
          <w:rFonts w:ascii="宋体" w:hAnsi="宋体" w:eastAsia="宋体"/>
          <w:sz w:val="18"/>
          <w:szCs w:val="18"/>
        </w:rPr>
        <w:t>]</w:t>
      </w:r>
      <w:r>
        <w:rPr>
          <w:rFonts w:hint="eastAsia" w:ascii="宋体" w:hAnsi="宋体" w:eastAsia="宋体"/>
          <w:sz w:val="18"/>
          <w:szCs w:val="18"/>
        </w:rPr>
        <w:t xml:space="preserve">  选择采用快速程序，必须填写快速程序代码。</w:t>
      </w:r>
    </w:p>
    <w:p>
      <w:pPr>
        <w:snapToGrid w:val="0"/>
        <w:rPr>
          <w:rFonts w:hint="eastAsia"/>
          <w:sz w:val="18"/>
          <w:szCs w:val="18"/>
        </w:rPr>
      </w:pPr>
    </w:p>
    <w:p>
      <w:pPr>
        <w:snapToGrid w:val="0"/>
        <w:rPr>
          <w:rFonts w:hint="eastAsia"/>
          <w:sz w:val="18"/>
          <w:szCs w:val="18"/>
        </w:rPr>
      </w:pPr>
    </w:p>
    <w:p>
      <w:pPr>
        <w:snapToGrid w:val="0"/>
        <w:rPr>
          <w:rFonts w:hint="eastAsia"/>
          <w:sz w:val="18"/>
          <w:szCs w:val="18"/>
        </w:rPr>
      </w:pP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81AF9D"/>
    <w:multiLevelType w:val="singleLevel"/>
    <w:tmpl w:val="C981AF9D"/>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2FkZjRlMjgxMjdlOTgyODBiNWQ1YWYyNmYyNjI5MDEifQ=="/>
  </w:docVars>
  <w:rsids>
    <w:rsidRoot w:val="009F1940"/>
    <w:rsid w:val="00070E68"/>
    <w:rsid w:val="00126298"/>
    <w:rsid w:val="0031195C"/>
    <w:rsid w:val="00762C08"/>
    <w:rsid w:val="009F1940"/>
    <w:rsid w:val="00AE6150"/>
    <w:rsid w:val="2CD9723F"/>
    <w:rsid w:val="5BA5318C"/>
    <w:rsid w:val="6C4A72AE"/>
    <w:rsid w:val="7FD824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40" w:lineRule="auto"/>
      <w:jc w:val="both"/>
    </w:pPr>
    <w:rPr>
      <w:rFonts w:ascii="Times New Roman" w:hAnsi="Times New Roman" w:eastAsia="仿宋_GB2312" w:cs="Times New Roman"/>
      <w:kern w:val="2"/>
      <w:sz w:val="28"/>
      <w:szCs w:val="20"/>
      <w:lang w:val="en-US" w:eastAsia="zh-CN" w:bidi="ar-SA"/>
    </w:rPr>
  </w:style>
  <w:style w:type="paragraph" w:styleId="3">
    <w:name w:val="heading 1"/>
    <w:basedOn w:val="1"/>
    <w:next w:val="1"/>
    <w:autoRedefine/>
    <w:qFormat/>
    <w:uiPriority w:val="9"/>
    <w:pPr>
      <w:keepNext/>
      <w:keepLines/>
      <w:spacing w:before="340" w:after="330" w:line="578" w:lineRule="auto"/>
      <w:outlineLvl w:val="0"/>
    </w:pPr>
    <w:rPr>
      <w:b/>
      <w:bCs/>
      <w:kern w:val="44"/>
      <w:sz w:val="44"/>
      <w:szCs w:val="44"/>
    </w:rPr>
  </w:style>
  <w:style w:type="paragraph" w:styleId="2">
    <w:name w:val="heading 2"/>
    <w:basedOn w:val="1"/>
    <w:next w:val="1"/>
    <w:autoRedefine/>
    <w:qFormat/>
    <w:uiPriority w:val="9"/>
    <w:pPr>
      <w:keepNext/>
      <w:keepLines/>
      <w:spacing w:line="360" w:lineRule="auto"/>
      <w:outlineLvl w:val="1"/>
    </w:pPr>
    <w:rPr>
      <w:rFonts w:ascii="Arial" w:hAnsi="Arial" w:eastAsia="楷体_GB2312"/>
      <w:b/>
      <w:szCs w:val="22"/>
    </w:rPr>
  </w:style>
  <w:style w:type="character" w:default="1" w:styleId="6">
    <w:name w:val="Default Paragraph Font"/>
    <w:autoRedefine/>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4">
    <w:name w:val="header"/>
    <w:basedOn w:val="1"/>
    <w:link w:val="7"/>
    <w:uiPriority w:val="0"/>
    <w:pPr>
      <w:pBdr>
        <w:bottom w:val="single" w:color="auto" w:sz="6" w:space="1"/>
      </w:pBdr>
      <w:tabs>
        <w:tab w:val="center" w:pos="4153"/>
        <w:tab w:val="right" w:pos="8306"/>
      </w:tabs>
      <w:snapToGrid w:val="0"/>
      <w:jc w:val="center"/>
    </w:pPr>
    <w:rPr>
      <w:sz w:val="18"/>
    </w:rPr>
  </w:style>
  <w:style w:type="character" w:customStyle="1" w:styleId="7">
    <w:name w:val="页眉 Char"/>
    <w:basedOn w:val="6"/>
    <w:link w:val="4"/>
    <w:uiPriority w:val="0"/>
    <w:rPr>
      <w:rFonts w:ascii="Times New Roman" w:hAnsi="Times New Roman" w:eastAsia="仿宋_GB2312" w:cs="Times New Roman"/>
      <w:sz w:val="1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95</Words>
  <Characters>542</Characters>
  <Lines>4</Lines>
  <Paragraphs>1</Paragraphs>
  <TotalTime>4</TotalTime>
  <ScaleCrop>false</ScaleCrop>
  <LinksUpToDate>false</LinksUpToDate>
  <CharactersWithSpaces>636</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2018-08-13T03:16:00Z</dcterms:created>
  <dc:creator>zh</dc:creator>
  <cp:lastModifiedBy>ccram</cp:lastModifiedBy>
  <dcterms:modified xsi:type="dcterms:W3CDTF">2024-01-23T05:32:41Z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DA69337365DD41368FFF7B9AACA155A9_12</vt:lpwstr>
  </property>
</Properties>
</file>